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1" w:rsidRPr="00287B12" w:rsidRDefault="002C2F50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03.15pt;margin-top:-25.2pt;width:276.25pt;height:79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037BF4" w:rsidRPr="00D72822" w:rsidRDefault="00AC429F" w:rsidP="00037BF4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037BF4" w:rsidRPr="00D72822">
                    <w:t xml:space="preserve">от </w:t>
                  </w:r>
                  <w:r w:rsidR="00794372" w:rsidRPr="0003765E">
                    <w:rPr>
                      <w:color w:val="000000"/>
                    </w:rPr>
                    <w:t>27.03.2023 № 51</w:t>
                  </w:r>
                  <w:r w:rsidR="00794372">
                    <w:rPr>
                      <w:color w:val="000000"/>
                    </w:rPr>
                    <w:t xml:space="preserve">      </w:t>
                  </w:r>
                </w:p>
                <w:p w:rsidR="00AC429F" w:rsidRDefault="00AC429F" w:rsidP="00AC429F">
                  <w:pPr>
                    <w:jc w:val="both"/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344F1" w:rsidRPr="00287B12" w:rsidRDefault="007830EF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</w:t>
      </w:r>
      <w:r w:rsidR="00F344F1" w:rsidRPr="00287B1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87B12">
        <w:rPr>
          <w:rFonts w:eastAsia="Courier New"/>
          <w:noProof/>
          <w:sz w:val="28"/>
          <w:szCs w:val="28"/>
          <w:lang w:bidi="ru-RU"/>
        </w:rPr>
        <w:t>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830EF" w:rsidRPr="00287B12">
        <w:rPr>
          <w:rFonts w:eastAsia="Courier New"/>
          <w:noProof/>
          <w:sz w:val="28"/>
          <w:szCs w:val="28"/>
          <w:lang w:bidi="ru-RU"/>
        </w:rPr>
        <w:t>«</w:t>
      </w:r>
      <w:r w:rsidRPr="00287B12">
        <w:rPr>
          <w:rFonts w:eastAsia="Courier New"/>
          <w:noProof/>
          <w:sz w:val="28"/>
          <w:szCs w:val="28"/>
          <w:lang w:bidi="ru-RU"/>
        </w:rPr>
        <w:t>Психологии</w:t>
      </w:r>
      <w:r w:rsidR="00F7199A" w:rsidRPr="00287B12">
        <w:rPr>
          <w:rFonts w:eastAsia="Courier New"/>
          <w:noProof/>
          <w:sz w:val="28"/>
          <w:szCs w:val="28"/>
          <w:lang w:bidi="ru-RU"/>
        </w:rPr>
        <w:t xml:space="preserve"> педагогики и социальной работы»</w: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44F1" w:rsidRPr="00287B12" w:rsidRDefault="002C2F50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2A5264" w:rsidRPr="00C94464" w:rsidRDefault="002A5264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5264" w:rsidRPr="00C94464" w:rsidRDefault="002A5264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A5264" w:rsidRDefault="002A5264" w:rsidP="00F344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5264" w:rsidRPr="00C94464" w:rsidRDefault="002A5264" w:rsidP="00F344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7BF4" w:rsidRPr="00D72822" w:rsidRDefault="00037BF4" w:rsidP="00037BF4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94372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79437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94372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794372">
                    <w:rPr>
                      <w:color w:val="000000"/>
                    </w:rPr>
                    <w:t xml:space="preserve">     </w:t>
                  </w:r>
                </w:p>
                <w:p w:rsidR="002A5264" w:rsidRPr="000C688C" w:rsidRDefault="002A5264" w:rsidP="00037BF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44F1" w:rsidRPr="00287B12" w:rsidRDefault="00F344F1" w:rsidP="00F344F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44F1" w:rsidRPr="00287B12" w:rsidRDefault="00F344F1" w:rsidP="00F344F1">
      <w:pPr>
        <w:contextualSpacing/>
        <w:jc w:val="center"/>
        <w:rPr>
          <w:b/>
          <w:sz w:val="28"/>
          <w:szCs w:val="28"/>
        </w:rPr>
      </w:pPr>
    </w:p>
    <w:p w:rsidR="00F344F1" w:rsidRPr="00037BF4" w:rsidRDefault="00933C4D" w:rsidP="00F344F1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037BF4">
        <w:rPr>
          <w:b/>
          <w:bCs/>
          <w:sz w:val="40"/>
          <w:szCs w:val="40"/>
        </w:rPr>
        <w:t>ПСИХОЛОГО-ПЕДАГОГИЧЕСКИЙ ПРАКТИКУМ</w:t>
      </w:r>
    </w:p>
    <w:p w:rsidR="00F344F1" w:rsidRPr="00933C4D" w:rsidRDefault="00F344F1" w:rsidP="00F344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3C4D">
        <w:rPr>
          <w:sz w:val="24"/>
          <w:szCs w:val="24"/>
        </w:rPr>
        <w:t>Б</w:t>
      </w:r>
      <w:proofErr w:type="gramStart"/>
      <w:r w:rsidRPr="00933C4D">
        <w:rPr>
          <w:sz w:val="24"/>
          <w:szCs w:val="24"/>
        </w:rPr>
        <w:t>1</w:t>
      </w:r>
      <w:proofErr w:type="gramEnd"/>
      <w:r w:rsidRPr="00933C4D">
        <w:rPr>
          <w:sz w:val="24"/>
          <w:szCs w:val="24"/>
        </w:rPr>
        <w:t>.Б.18</w:t>
      </w:r>
    </w:p>
    <w:p w:rsidR="00F344F1" w:rsidRPr="00287B12" w:rsidRDefault="00F344F1" w:rsidP="00F344F1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44F1" w:rsidRPr="00287B12" w:rsidRDefault="00F344F1" w:rsidP="00F344F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87B1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(программа </w:t>
      </w:r>
      <w:proofErr w:type="spellStart"/>
      <w:r w:rsidRPr="00287B12">
        <w:rPr>
          <w:rFonts w:eastAsia="Courier New"/>
          <w:sz w:val="24"/>
          <w:szCs w:val="24"/>
          <w:lang w:bidi="ru-RU"/>
        </w:rPr>
        <w:t>академическогобакалавриата</w:t>
      </w:r>
      <w:proofErr w:type="spellEnd"/>
      <w:r w:rsidRPr="00287B12">
        <w:rPr>
          <w:rFonts w:eastAsia="Courier New"/>
          <w:sz w:val="24"/>
          <w:szCs w:val="24"/>
          <w:lang w:bidi="ru-RU"/>
        </w:rPr>
        <w:t>)</w:t>
      </w:r>
    </w:p>
    <w:p w:rsidR="00F344F1" w:rsidRPr="00287B12" w:rsidRDefault="00F344F1" w:rsidP="00F344F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C429F" w:rsidRPr="00793E1B" w:rsidRDefault="00AC429F" w:rsidP="00AC429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C429F" w:rsidRPr="00C458E8" w:rsidRDefault="00AC429F" w:rsidP="00AC429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AC429F" w:rsidRPr="00793E1B" w:rsidRDefault="00AC429F" w:rsidP="00AC429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C429F" w:rsidRDefault="00AC429F" w:rsidP="00AC429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037BF4" w:rsidRPr="006E1872" w:rsidRDefault="00037BF4" w:rsidP="00AC429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92CDB" w:rsidRPr="004E668F" w:rsidRDefault="00992CDB" w:rsidP="00992C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037BF4">
        <w:rPr>
          <w:rFonts w:eastAsia="SimSun"/>
          <w:kern w:val="2"/>
          <w:sz w:val="24"/>
          <w:szCs w:val="24"/>
          <w:lang w:eastAsia="hi-IN" w:bidi="hi-IN"/>
        </w:rPr>
        <w:t>1/2019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2E04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7BF4" w:rsidRDefault="00037BF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7BF4" w:rsidRDefault="00037BF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7BF4" w:rsidRDefault="00037BF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7BF4" w:rsidRDefault="00037BF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7BF4" w:rsidRDefault="00037BF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E04" w:rsidRPr="00287B12" w:rsidRDefault="00C92E04" w:rsidP="00C92E0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94372" w:rsidRDefault="00794372" w:rsidP="00794372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037BF4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37BF4" w:rsidRDefault="00037BF4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87B12">
        <w:rPr>
          <w:spacing w:val="-3"/>
          <w:sz w:val="24"/>
          <w:szCs w:val="24"/>
          <w:lang w:eastAsia="en-US"/>
        </w:rPr>
        <w:t>к.пс.н</w:t>
      </w:r>
      <w:proofErr w:type="spellEnd"/>
      <w:r w:rsidRPr="00287B12">
        <w:rPr>
          <w:spacing w:val="-3"/>
          <w:sz w:val="24"/>
          <w:szCs w:val="24"/>
          <w:lang w:eastAsia="en-US"/>
        </w:rPr>
        <w:t xml:space="preserve">., доцент </w:t>
      </w:r>
      <w:proofErr w:type="spellStart"/>
      <w:r>
        <w:rPr>
          <w:spacing w:val="-3"/>
          <w:sz w:val="24"/>
          <w:szCs w:val="24"/>
          <w:lang w:eastAsia="en-US"/>
        </w:rPr>
        <w:t>В.Г.</w:t>
      </w:r>
      <w:r w:rsidR="00933C4D">
        <w:rPr>
          <w:spacing w:val="-3"/>
          <w:sz w:val="24"/>
          <w:szCs w:val="24"/>
          <w:lang w:eastAsia="en-US"/>
        </w:rPr>
        <w:t>Пинигин</w:t>
      </w:r>
      <w:proofErr w:type="spellEnd"/>
      <w:r w:rsidR="00933C4D">
        <w:rPr>
          <w:spacing w:val="-3"/>
          <w:sz w:val="24"/>
          <w:szCs w:val="24"/>
          <w:lang w:eastAsia="en-US"/>
        </w:rPr>
        <w:t xml:space="preserve"> 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Default="00D22B0B" w:rsidP="00D22B0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037BF4" w:rsidRPr="00287B12" w:rsidRDefault="00037BF4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7BF4" w:rsidRPr="00D72822" w:rsidRDefault="00037BF4" w:rsidP="00037B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794372" w:rsidRPr="00AA1242">
        <w:rPr>
          <w:color w:val="000000"/>
          <w:sz w:val="24"/>
          <w:szCs w:val="24"/>
        </w:rPr>
        <w:t>24.03.2023 г. № 8</w:t>
      </w:r>
      <w:r w:rsidR="00794372">
        <w:rPr>
          <w:color w:val="000000"/>
        </w:rPr>
        <w:t xml:space="preserve">     </w:t>
      </w:r>
    </w:p>
    <w:p w:rsidR="000C688C" w:rsidRPr="001C16B6" w:rsidRDefault="000C688C" w:rsidP="000C68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C688C" w:rsidRPr="001C16B6" w:rsidRDefault="000C688C" w:rsidP="000C688C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287B12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87B1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87B12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87B1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87B1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87B1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87B1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</w:p>
    <w:p w:rsidR="00AC429F" w:rsidRPr="00951F6B" w:rsidRDefault="00AC429F" w:rsidP="00AC429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AC429F" w:rsidRPr="006E1872" w:rsidRDefault="00AC429F" w:rsidP="00AC42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AC429F" w:rsidRPr="00D06A29" w:rsidRDefault="00AC429F" w:rsidP="00AC429F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037BF4" w:rsidRPr="00D72822" w:rsidRDefault="00037BF4" w:rsidP="00037BF4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37BF4" w:rsidRPr="00D72822" w:rsidRDefault="00037BF4" w:rsidP="00037B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037BF4" w:rsidRPr="00D72822" w:rsidRDefault="00037BF4" w:rsidP="00037B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7BF4" w:rsidRPr="00D72822" w:rsidRDefault="00037BF4" w:rsidP="00037B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7BF4" w:rsidRPr="00D72822" w:rsidRDefault="00037BF4" w:rsidP="00037B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37BF4" w:rsidRPr="00D72822" w:rsidRDefault="00037BF4" w:rsidP="00037B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7BF4" w:rsidRPr="00D72822" w:rsidRDefault="00037BF4" w:rsidP="00037BF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7BF4" w:rsidRPr="00D72822" w:rsidRDefault="00AC429F" w:rsidP="00037BF4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037BF4" w:rsidRPr="00D72822">
        <w:rPr>
          <w:sz w:val="24"/>
          <w:szCs w:val="24"/>
        </w:rPr>
        <w:t xml:space="preserve">форма обучения – заочная на </w:t>
      </w:r>
      <w:r w:rsidR="00794372" w:rsidRPr="0015444F">
        <w:rPr>
          <w:color w:val="000000"/>
          <w:sz w:val="24"/>
          <w:szCs w:val="24"/>
        </w:rPr>
        <w:t>2023/2024</w:t>
      </w:r>
      <w:r w:rsidR="00794372">
        <w:rPr>
          <w:color w:val="000000"/>
          <w:sz w:val="24"/>
          <w:szCs w:val="24"/>
        </w:rPr>
        <w:t xml:space="preserve"> </w:t>
      </w:r>
      <w:r w:rsidR="00037BF4" w:rsidRPr="00D72822">
        <w:rPr>
          <w:sz w:val="24"/>
          <w:szCs w:val="24"/>
        </w:rPr>
        <w:t xml:space="preserve">учебный год, утвержденным приказом ректора от </w:t>
      </w:r>
      <w:r w:rsidR="00794372" w:rsidRPr="00AA1242">
        <w:rPr>
          <w:color w:val="000000"/>
          <w:sz w:val="24"/>
          <w:szCs w:val="24"/>
        </w:rPr>
        <w:t>27.03.2023 № 51</w:t>
      </w:r>
      <w:r w:rsidR="00794372">
        <w:rPr>
          <w:color w:val="000000"/>
        </w:rPr>
        <w:t xml:space="preserve">   </w:t>
      </w:r>
      <w:r w:rsidR="00037BF4" w:rsidRPr="00D72822">
        <w:rPr>
          <w:sz w:val="24"/>
          <w:szCs w:val="24"/>
          <w:lang w:eastAsia="en-US"/>
        </w:rPr>
        <w:t>.</w:t>
      </w:r>
    </w:p>
    <w:p w:rsidR="00F344F1" w:rsidRPr="00287B12" w:rsidRDefault="00F344F1" w:rsidP="00037BF4">
      <w:pPr>
        <w:snapToGrid w:val="0"/>
        <w:ind w:firstLine="709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proofErr w:type="gramStart"/>
      <w:r w:rsidR="007830EF" w:rsidRPr="00287B12">
        <w:rPr>
          <w:b/>
          <w:sz w:val="24"/>
          <w:szCs w:val="24"/>
          <w:lang w:eastAsia="en-US"/>
        </w:rPr>
        <w:t>»</w:t>
      </w:r>
      <w:r w:rsidRPr="00287B12">
        <w:rPr>
          <w:b/>
          <w:sz w:val="24"/>
          <w:szCs w:val="24"/>
        </w:rPr>
        <w:t>в</w:t>
      </w:r>
      <w:proofErr w:type="gramEnd"/>
      <w:r w:rsidRPr="00287B12">
        <w:rPr>
          <w:b/>
          <w:sz w:val="24"/>
          <w:szCs w:val="24"/>
        </w:rPr>
        <w:t xml:space="preserve"> течение </w:t>
      </w:r>
      <w:r w:rsidR="00794372" w:rsidRPr="0015444F">
        <w:rPr>
          <w:color w:val="000000"/>
          <w:sz w:val="24"/>
          <w:szCs w:val="24"/>
        </w:rPr>
        <w:t>2023/2024</w:t>
      </w:r>
      <w:r w:rsidR="00794372">
        <w:rPr>
          <w:color w:val="000000"/>
          <w:sz w:val="24"/>
          <w:szCs w:val="24"/>
        </w:rPr>
        <w:t xml:space="preserve"> </w:t>
      </w:r>
      <w:r w:rsidRPr="00287B12">
        <w:rPr>
          <w:b/>
          <w:sz w:val="24"/>
          <w:szCs w:val="24"/>
        </w:rPr>
        <w:t>учебного года:</w:t>
      </w:r>
    </w:p>
    <w:p w:rsidR="00901770" w:rsidRPr="00AC429F" w:rsidRDefault="00AC429F" w:rsidP="00037BF4">
      <w:pPr>
        <w:ind w:firstLine="567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37157F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«Иностранный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794372" w:rsidRPr="0015444F">
        <w:rPr>
          <w:color w:val="000000"/>
          <w:sz w:val="24"/>
          <w:szCs w:val="24"/>
        </w:rPr>
        <w:t>2023/2024</w:t>
      </w:r>
      <w:r w:rsidR="00794372">
        <w:rPr>
          <w:color w:val="000000"/>
          <w:sz w:val="24"/>
          <w:szCs w:val="24"/>
        </w:rPr>
        <w:t xml:space="preserve"> </w:t>
      </w:r>
      <w:r w:rsidR="00901770" w:rsidRPr="00287B12">
        <w:rPr>
          <w:sz w:val="24"/>
          <w:szCs w:val="24"/>
        </w:rPr>
        <w:t>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287B1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87B12">
        <w:rPr>
          <w:rFonts w:ascii="Times New Roman" w:hAnsi="Times New Roman"/>
          <w:b/>
          <w:sz w:val="24"/>
          <w:szCs w:val="24"/>
        </w:rPr>
        <w:t xml:space="preserve">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87B1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87B12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C429F" w:rsidRPr="00AC429F" w:rsidRDefault="00AC429F" w:rsidP="00AC429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AC429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C429F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Pr="00AC429F">
        <w:rPr>
          <w:sz w:val="24"/>
          <w:szCs w:val="24"/>
        </w:rPr>
        <w:t>Минобрнауки</w:t>
      </w:r>
      <w:proofErr w:type="spellEnd"/>
      <w:r w:rsidRPr="00AC429F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Pr="00AC429F">
        <w:rPr>
          <w:sz w:val="24"/>
          <w:szCs w:val="24"/>
        </w:rPr>
        <w:t>ВО</w:t>
      </w:r>
      <w:proofErr w:type="gramEnd"/>
      <w:r w:rsidRPr="00AC429F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AC429F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AC429F">
        <w:rPr>
          <w:rFonts w:eastAsia="Calibri"/>
          <w:i/>
          <w:sz w:val="24"/>
          <w:szCs w:val="24"/>
        </w:rPr>
        <w:t>далее - ОПОП</w:t>
      </w:r>
      <w:r w:rsidRPr="00AC429F">
        <w:rPr>
          <w:rFonts w:eastAsia="Calibri"/>
          <w:sz w:val="24"/>
          <w:szCs w:val="24"/>
        </w:rPr>
        <w:t xml:space="preserve">) </w:t>
      </w:r>
      <w:proofErr w:type="spellStart"/>
      <w:r w:rsidRPr="00AC429F">
        <w:rPr>
          <w:rFonts w:eastAsia="Calibri"/>
          <w:sz w:val="24"/>
          <w:szCs w:val="24"/>
        </w:rPr>
        <w:t>бакалавриата</w:t>
      </w:r>
      <w:proofErr w:type="spellEnd"/>
      <w:r w:rsidRPr="00AC429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lastRenderedPageBreak/>
              <w:t>авторские теории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proofErr w:type="gramStart"/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rFonts w:eastAsia="Calibri"/>
          <w:sz w:val="24"/>
          <w:szCs w:val="24"/>
          <w:lang w:eastAsia="en-US"/>
        </w:rPr>
        <w:t>я</w:t>
      </w:r>
      <w:proofErr w:type="gramEnd"/>
      <w:r w:rsidRPr="00287B12">
        <w:rPr>
          <w:rFonts w:eastAsia="Calibri"/>
          <w:sz w:val="24"/>
          <w:szCs w:val="24"/>
          <w:lang w:eastAsia="en-US"/>
        </w:rPr>
        <w:t xml:space="preserve">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1777"/>
        <w:gridCol w:w="2653"/>
        <w:gridCol w:w="2066"/>
        <w:gridCol w:w="162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07A2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07A2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</w:t>
            </w:r>
            <w:proofErr w:type="gramStart"/>
            <w:r w:rsidRPr="00C07A22">
              <w:rPr>
                <w:sz w:val="24"/>
                <w:szCs w:val="24"/>
              </w:rPr>
              <w:t>1</w:t>
            </w:r>
            <w:proofErr w:type="gramEnd"/>
            <w:r w:rsidRPr="00C07A22">
              <w:rPr>
                <w:sz w:val="24"/>
                <w:szCs w:val="24"/>
              </w:rPr>
              <w:t>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</w:t>
            </w:r>
            <w:proofErr w:type="spellStart"/>
            <w:r w:rsidR="00921938" w:rsidRPr="003A4DA6">
              <w:rPr>
                <w:sz w:val="24"/>
                <w:szCs w:val="24"/>
              </w:rPr>
              <w:t>дисциплины</w:t>
            </w:r>
            <w:proofErr w:type="gramStart"/>
            <w:r w:rsidRPr="003A4DA6">
              <w:rPr>
                <w:sz w:val="24"/>
                <w:szCs w:val="24"/>
              </w:rPr>
              <w:t>:</w:t>
            </w:r>
            <w:r w:rsidR="00EF3A30" w:rsidRPr="00D0299C">
              <w:rPr>
                <w:sz w:val="24"/>
                <w:szCs w:val="24"/>
              </w:rPr>
              <w:t>П</w:t>
            </w:r>
            <w:proofErr w:type="gramEnd"/>
            <w:r w:rsidR="00EF3A30" w:rsidRPr="00D0299C">
              <w:rPr>
                <w:sz w:val="24"/>
                <w:szCs w:val="24"/>
              </w:rPr>
              <w:t>едагогика</w:t>
            </w:r>
            <w:proofErr w:type="spellEnd"/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  <w:r w:rsidR="004A073B">
              <w:rPr>
                <w:bCs/>
                <w:sz w:val="24"/>
                <w:szCs w:val="24"/>
              </w:rPr>
              <w:t>; Психодиагностика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866B08" w:rsidRDefault="00EF3A30" w:rsidP="00EF3A30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66B0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866B08" w:rsidRDefault="00EF3A30" w:rsidP="00EF3A30">
      <w:pPr>
        <w:ind w:firstLine="709"/>
        <w:jc w:val="both"/>
        <w:rPr>
          <w:sz w:val="24"/>
          <w:szCs w:val="24"/>
        </w:rPr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lastRenderedPageBreak/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  <w:r w:rsidR="00866B08">
        <w:rPr>
          <w:rFonts w:eastAsia="Calibri"/>
          <w:sz w:val="24"/>
          <w:szCs w:val="24"/>
          <w:lang w:eastAsia="en-US"/>
        </w:rPr>
        <w:t>.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B16209" w:rsidRDefault="000153C0" w:rsidP="0013166B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B16209">
              <w:rPr>
                <w:b/>
                <w:i/>
                <w:iCs/>
                <w:color w:val="000000"/>
                <w:sz w:val="24"/>
                <w:szCs w:val="24"/>
              </w:rPr>
              <w:t> 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87B1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87B1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287B1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proofErr w:type="gramStart"/>
      <w:r w:rsidRPr="00287B12">
        <w:rPr>
          <w:b/>
          <w:sz w:val="16"/>
          <w:szCs w:val="16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87B12">
        <w:rPr>
          <w:sz w:val="16"/>
          <w:szCs w:val="16"/>
        </w:rPr>
        <w:t>бакалавриата</w:t>
      </w:r>
      <w:proofErr w:type="spellEnd"/>
      <w:r w:rsidRPr="00287B12">
        <w:rPr>
          <w:sz w:val="16"/>
          <w:szCs w:val="16"/>
        </w:rPr>
        <w:t xml:space="preserve">, программам </w:t>
      </w:r>
      <w:proofErr w:type="spellStart"/>
      <w:r w:rsidRPr="00287B12">
        <w:rPr>
          <w:sz w:val="16"/>
          <w:szCs w:val="16"/>
        </w:rPr>
        <w:t>специалитета</w:t>
      </w:r>
      <w:proofErr w:type="spellEnd"/>
      <w:r w:rsidRPr="00287B1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87B12">
        <w:rPr>
          <w:sz w:val="16"/>
          <w:szCs w:val="16"/>
        </w:rPr>
        <w:t>Минобрнауки</w:t>
      </w:r>
      <w:proofErr w:type="spellEnd"/>
      <w:r w:rsidRPr="00287B1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87B12">
        <w:rPr>
          <w:sz w:val="16"/>
          <w:szCs w:val="16"/>
        </w:rPr>
        <w:t xml:space="preserve"> </w:t>
      </w:r>
      <w:proofErr w:type="gramStart"/>
      <w:r w:rsidRPr="00287B12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287B12">
        <w:rPr>
          <w:sz w:val="16"/>
          <w:szCs w:val="16"/>
        </w:rPr>
        <w:t>всоответствии</w:t>
      </w:r>
      <w:proofErr w:type="spellEnd"/>
      <w:proofErr w:type="gramEnd"/>
      <w:r w:rsidRPr="00287B12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87B12">
        <w:rPr>
          <w:sz w:val="16"/>
          <w:szCs w:val="16"/>
        </w:rPr>
        <w:t>бакалавриата</w:t>
      </w:r>
      <w:proofErr w:type="spellEnd"/>
      <w:r w:rsidRPr="00287B12">
        <w:rPr>
          <w:sz w:val="16"/>
          <w:szCs w:val="16"/>
        </w:rPr>
        <w:t xml:space="preserve">, программам </w:t>
      </w:r>
      <w:proofErr w:type="spellStart"/>
      <w:r w:rsidRPr="00287B12">
        <w:rPr>
          <w:sz w:val="16"/>
          <w:szCs w:val="16"/>
        </w:rPr>
        <w:t>специалитета</w:t>
      </w:r>
      <w:proofErr w:type="spellEnd"/>
      <w:r w:rsidRPr="00287B1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87B12">
        <w:rPr>
          <w:sz w:val="16"/>
          <w:szCs w:val="16"/>
        </w:rPr>
        <w:t>Минобрнауки</w:t>
      </w:r>
      <w:proofErr w:type="spellEnd"/>
      <w:r w:rsidRPr="00287B1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87B1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proofErr w:type="gramStart"/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87B12">
        <w:rPr>
          <w:b/>
          <w:sz w:val="16"/>
          <w:szCs w:val="16"/>
        </w:rPr>
        <w:t xml:space="preserve">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87B12">
        <w:rPr>
          <w:sz w:val="16"/>
          <w:szCs w:val="16"/>
        </w:rPr>
        <w:t>бакалавриата</w:t>
      </w:r>
      <w:proofErr w:type="spellEnd"/>
      <w:r w:rsidRPr="00287B12">
        <w:rPr>
          <w:sz w:val="16"/>
          <w:szCs w:val="16"/>
        </w:rPr>
        <w:t xml:space="preserve">, программам </w:t>
      </w:r>
      <w:proofErr w:type="spellStart"/>
      <w:r w:rsidRPr="00287B12">
        <w:rPr>
          <w:sz w:val="16"/>
          <w:szCs w:val="16"/>
        </w:rPr>
        <w:t>специалитета</w:t>
      </w:r>
      <w:proofErr w:type="spellEnd"/>
      <w:r w:rsidRPr="00287B1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87B12">
        <w:rPr>
          <w:sz w:val="16"/>
          <w:szCs w:val="16"/>
        </w:rPr>
        <w:t>Минобрнауки</w:t>
      </w:r>
      <w:proofErr w:type="spellEnd"/>
      <w:r w:rsidRPr="00287B1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87B12">
        <w:rPr>
          <w:sz w:val="16"/>
          <w:szCs w:val="16"/>
        </w:rPr>
        <w:t xml:space="preserve"> </w:t>
      </w:r>
      <w:proofErr w:type="gramStart"/>
      <w:r w:rsidRPr="00287B12">
        <w:rPr>
          <w:sz w:val="16"/>
          <w:szCs w:val="16"/>
        </w:rPr>
        <w:t xml:space="preserve">образовательная организация </w:t>
      </w:r>
      <w:proofErr w:type="spellStart"/>
      <w:r w:rsidRPr="00287B12">
        <w:rPr>
          <w:sz w:val="16"/>
          <w:szCs w:val="16"/>
        </w:rPr>
        <w:t>устанавливаетв</w:t>
      </w:r>
      <w:proofErr w:type="spellEnd"/>
      <w:r w:rsidRPr="00287B1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287B12">
        <w:rPr>
          <w:sz w:val="16"/>
          <w:szCs w:val="16"/>
        </w:rPr>
        <w:t xml:space="preserve"> </w:t>
      </w:r>
      <w:proofErr w:type="gramStart"/>
      <w:r w:rsidRPr="00287B12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87B12">
        <w:rPr>
          <w:sz w:val="16"/>
          <w:szCs w:val="16"/>
        </w:rPr>
        <w:t>бакалавриата</w:t>
      </w:r>
      <w:proofErr w:type="spellEnd"/>
      <w:r w:rsidRPr="00287B12">
        <w:rPr>
          <w:sz w:val="16"/>
          <w:szCs w:val="16"/>
        </w:rPr>
        <w:t xml:space="preserve">, программам </w:t>
      </w:r>
      <w:proofErr w:type="spellStart"/>
      <w:r w:rsidRPr="00287B12">
        <w:rPr>
          <w:sz w:val="16"/>
          <w:szCs w:val="16"/>
        </w:rPr>
        <w:t>специалитета</w:t>
      </w:r>
      <w:proofErr w:type="spellEnd"/>
      <w:r w:rsidRPr="00287B1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87B12">
        <w:rPr>
          <w:sz w:val="16"/>
          <w:szCs w:val="16"/>
        </w:rPr>
        <w:t>Минобрнауки</w:t>
      </w:r>
      <w:proofErr w:type="spellEnd"/>
      <w:r w:rsidRPr="00287B1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287B1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287B12">
        <w:rPr>
          <w:sz w:val="16"/>
          <w:szCs w:val="16"/>
        </w:rPr>
        <w:t xml:space="preserve"> организация </w:t>
      </w:r>
      <w:proofErr w:type="spellStart"/>
      <w:r w:rsidRPr="00287B12">
        <w:rPr>
          <w:sz w:val="16"/>
          <w:szCs w:val="16"/>
        </w:rPr>
        <w:t>устанавливаетв</w:t>
      </w:r>
      <w:proofErr w:type="spellEnd"/>
      <w:r w:rsidRPr="00287B1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87B12">
        <w:rPr>
          <w:sz w:val="16"/>
          <w:szCs w:val="16"/>
        </w:rPr>
        <w:t>и(</w:t>
      </w:r>
      <w:proofErr w:type="gramEnd"/>
      <w:r w:rsidRPr="00287B1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proofErr w:type="gramStart"/>
      <w:r w:rsidRPr="00C72109">
        <w:rPr>
          <w:b/>
          <w:sz w:val="24"/>
          <w:szCs w:val="24"/>
        </w:rPr>
        <w:t>1</w:t>
      </w:r>
      <w:proofErr w:type="gramEnd"/>
      <w:r w:rsidRPr="00C72109">
        <w:rPr>
          <w:b/>
          <w:sz w:val="24"/>
          <w:szCs w:val="24"/>
        </w:rPr>
        <w:t xml:space="preserve">. </w:t>
      </w:r>
      <w:proofErr w:type="spellStart"/>
      <w:r w:rsidR="00402A67" w:rsidRPr="00402A67">
        <w:rPr>
          <w:b/>
          <w:color w:val="000000"/>
          <w:sz w:val="24"/>
          <w:szCs w:val="24"/>
        </w:rPr>
        <w:t>Учитель</w:t>
      </w:r>
      <w:r w:rsidRPr="00C72109">
        <w:rPr>
          <w:b/>
          <w:color w:val="000000"/>
          <w:sz w:val="24"/>
          <w:szCs w:val="24"/>
        </w:rPr>
        <w:t>в</w:t>
      </w:r>
      <w:proofErr w:type="spellEnd"/>
      <w:r w:rsidRPr="00C72109">
        <w:rPr>
          <w:b/>
          <w:color w:val="000000"/>
          <w:sz w:val="24"/>
          <w:szCs w:val="24"/>
        </w:rPr>
        <w:t xml:space="preserve"> педагогическом </w:t>
      </w:r>
      <w:proofErr w:type="gramStart"/>
      <w:r w:rsidRPr="00C72109">
        <w:rPr>
          <w:b/>
          <w:color w:val="000000"/>
          <w:sz w:val="24"/>
          <w:szCs w:val="24"/>
        </w:rPr>
        <w:t>коллективе</w:t>
      </w:r>
      <w:proofErr w:type="gramEnd"/>
      <w:r w:rsidRPr="00C72109">
        <w:rPr>
          <w:b/>
          <w:color w:val="000000"/>
          <w:sz w:val="24"/>
          <w:szCs w:val="24"/>
        </w:rPr>
        <w:t xml:space="preserve">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Сущность аналитических умений. Предмет педагогического анализа: анализ уровня </w:t>
      </w:r>
      <w:proofErr w:type="spellStart"/>
      <w:r w:rsidRPr="00287B12">
        <w:rPr>
          <w:sz w:val="24"/>
          <w:szCs w:val="24"/>
        </w:rPr>
        <w:lastRenderedPageBreak/>
        <w:t>обученности</w:t>
      </w:r>
      <w:proofErr w:type="spellEnd"/>
      <w:r w:rsidRPr="00287B12">
        <w:rPr>
          <w:sz w:val="24"/>
          <w:szCs w:val="24"/>
        </w:rPr>
        <w:t xml:space="preserve">, воспитанности, развития ребенка; анализ </w:t>
      </w:r>
      <w:proofErr w:type="spellStart"/>
      <w:r w:rsidRPr="00287B12">
        <w:rPr>
          <w:sz w:val="24"/>
          <w:szCs w:val="24"/>
        </w:rPr>
        <w:t>дезадаптации</w:t>
      </w:r>
      <w:proofErr w:type="spellEnd"/>
      <w:r w:rsidRPr="00287B12">
        <w:rPr>
          <w:sz w:val="24"/>
          <w:szCs w:val="24"/>
        </w:rPr>
        <w:t xml:space="preserve">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 xml:space="preserve"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</w:t>
      </w:r>
      <w:proofErr w:type="spellStart"/>
      <w:r w:rsidR="00EF3A30" w:rsidRPr="00287B12">
        <w:rPr>
          <w:sz w:val="24"/>
          <w:szCs w:val="24"/>
        </w:rPr>
        <w:t>обученности</w:t>
      </w:r>
      <w:proofErr w:type="spellEnd"/>
      <w:r w:rsidR="00EF3A30" w:rsidRPr="00287B12">
        <w:rPr>
          <w:sz w:val="24"/>
          <w:szCs w:val="24"/>
        </w:rPr>
        <w:t xml:space="preserve">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</w:t>
      </w:r>
      <w:proofErr w:type="gramStart"/>
      <w:r w:rsidRPr="00F73C53">
        <w:rPr>
          <w:sz w:val="24"/>
          <w:szCs w:val="24"/>
          <w:shd w:val="clear" w:color="auto" w:fill="FFFFFF"/>
        </w:rPr>
        <w:t>.</w:t>
      </w:r>
      <w:proofErr w:type="gramEnd"/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>. Сущность конструктивных умений - конструирование (построение, 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</w:t>
      </w:r>
      <w:r w:rsidRPr="00287B12">
        <w:rPr>
          <w:sz w:val="24"/>
          <w:szCs w:val="24"/>
        </w:rPr>
        <w:lastRenderedPageBreak/>
        <w:t xml:space="preserve">школе; планирование внеклассных школьных мероприятий. Планирование </w:t>
      </w:r>
      <w:proofErr w:type="spellStart"/>
      <w:proofErr w:type="gramStart"/>
      <w:r w:rsidRPr="00287B12">
        <w:rPr>
          <w:sz w:val="24"/>
          <w:szCs w:val="24"/>
        </w:rPr>
        <w:t>воспитательно</w:t>
      </w:r>
      <w:proofErr w:type="spellEnd"/>
      <w:r w:rsidRPr="00287B12">
        <w:rPr>
          <w:sz w:val="24"/>
          <w:szCs w:val="24"/>
        </w:rPr>
        <w:t xml:space="preserve"> — образовательного</w:t>
      </w:r>
      <w:proofErr w:type="gramEnd"/>
      <w:r w:rsidRPr="00287B12">
        <w:rPr>
          <w:sz w:val="24"/>
          <w:szCs w:val="24"/>
        </w:rPr>
        <w:t xml:space="preserve">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</w:t>
      </w:r>
      <w:proofErr w:type="spellStart"/>
      <w:r w:rsidRPr="00294FDD">
        <w:rPr>
          <w:rFonts w:eastAsia="Calibri"/>
          <w:sz w:val="24"/>
          <w:szCs w:val="24"/>
        </w:rPr>
        <w:t>психокоррекционной</w:t>
      </w:r>
      <w:proofErr w:type="spellEnd"/>
      <w:r w:rsidRPr="00294FDD">
        <w:rPr>
          <w:rFonts w:eastAsia="Calibri"/>
          <w:sz w:val="24"/>
          <w:szCs w:val="24"/>
        </w:rPr>
        <w:t>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  <w:proofErr w:type="gramEnd"/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87B12">
        <w:rPr>
          <w:b/>
          <w:sz w:val="24"/>
          <w:szCs w:val="24"/>
        </w:rPr>
        <w:t>обучающихся</w:t>
      </w:r>
      <w:proofErr w:type="gramEnd"/>
      <w:r w:rsidRPr="00287B12">
        <w:rPr>
          <w:b/>
          <w:sz w:val="24"/>
          <w:szCs w:val="24"/>
        </w:rPr>
        <w:t xml:space="preserve">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87B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7B12">
        <w:rPr>
          <w:rFonts w:ascii="Times New Roman" w:hAnsi="Times New Roman"/>
          <w:sz w:val="24"/>
          <w:szCs w:val="24"/>
        </w:rPr>
        <w:t xml:space="preserve"> по освоению дисциплины «Психолого-педагогический практикум»/ </w:t>
      </w:r>
      <w:proofErr w:type="spellStart"/>
      <w:r w:rsidR="004B072C">
        <w:rPr>
          <w:rFonts w:ascii="Times New Roman" w:hAnsi="Times New Roman"/>
          <w:sz w:val="24"/>
          <w:szCs w:val="24"/>
        </w:rPr>
        <w:t>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="004B072C">
        <w:rPr>
          <w:rFonts w:ascii="Times New Roman" w:hAnsi="Times New Roman"/>
          <w:sz w:val="24"/>
          <w:szCs w:val="24"/>
        </w:rPr>
        <w:t>Г.</w:t>
      </w:r>
      <w:r w:rsidR="002A5264">
        <w:rPr>
          <w:rFonts w:ascii="Times New Roman" w:hAnsi="Times New Roman"/>
          <w:sz w:val="24"/>
          <w:szCs w:val="24"/>
        </w:rPr>
        <w:t>Пинигин</w:t>
      </w:r>
      <w:proofErr w:type="spellEnd"/>
      <w:r w:rsidR="002A5264">
        <w:rPr>
          <w:rFonts w:ascii="Times New Roman" w:hAnsi="Times New Roman"/>
          <w:sz w:val="24"/>
          <w:szCs w:val="24"/>
        </w:rPr>
        <w:t xml:space="preserve">. – </w:t>
      </w:r>
      <w:r w:rsidRPr="00287B12">
        <w:rPr>
          <w:rFonts w:ascii="Times New Roman" w:hAnsi="Times New Roman"/>
          <w:sz w:val="24"/>
          <w:szCs w:val="24"/>
        </w:rPr>
        <w:t xml:space="preserve">Омск: Изд-во Омской </w:t>
      </w:r>
      <w:r w:rsidR="000C688C">
        <w:rPr>
          <w:rFonts w:ascii="Times New Roman" w:hAnsi="Times New Roman"/>
          <w:sz w:val="24"/>
          <w:szCs w:val="24"/>
        </w:rPr>
        <w:t>гуманитарной академии, 202</w:t>
      </w:r>
      <w:r w:rsidR="00037BF4">
        <w:rPr>
          <w:rFonts w:ascii="Times New Roman" w:hAnsi="Times New Roman"/>
          <w:sz w:val="24"/>
          <w:szCs w:val="24"/>
        </w:rPr>
        <w:t>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87B1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87B1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87B1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87B12">
        <w:rPr>
          <w:rFonts w:ascii="Times New Roman" w:hAnsi="Times New Roman"/>
          <w:sz w:val="24"/>
          <w:szCs w:val="24"/>
        </w:rPr>
        <w:t>ОмГА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87B12">
        <w:rPr>
          <w:rFonts w:ascii="Times New Roman" w:hAnsi="Times New Roman"/>
          <w:sz w:val="24"/>
          <w:szCs w:val="24"/>
        </w:rPr>
        <w:t>ОмГА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87B1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87B1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87B1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87B12">
        <w:rPr>
          <w:rFonts w:ascii="Times New Roman" w:hAnsi="Times New Roman"/>
          <w:sz w:val="24"/>
          <w:szCs w:val="24"/>
        </w:rPr>
        <w:t>ОмГА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344F1" w:rsidRPr="00287B12" w:rsidRDefault="00F344F1" w:rsidP="00F344F1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87B12">
        <w:rPr>
          <w:b/>
          <w:bCs/>
          <w:i/>
          <w:sz w:val="24"/>
          <w:szCs w:val="24"/>
        </w:rPr>
        <w:t>Основная:</w:t>
      </w:r>
    </w:p>
    <w:p w:rsidR="00C92E04" w:rsidRPr="00287B12" w:rsidRDefault="00C92E04" w:rsidP="00C92E04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287B12">
        <w:rPr>
          <w:sz w:val="24"/>
          <w:szCs w:val="24"/>
          <w:shd w:val="clear" w:color="auto" w:fill="FFFFFF"/>
        </w:rPr>
        <w:t>Гуревич, П. С. Психология и педагогика</w:t>
      </w:r>
      <w:proofErr w:type="gramStart"/>
      <w:r w:rsidRPr="00287B12">
        <w:rPr>
          <w:sz w:val="24"/>
          <w:szCs w:val="24"/>
          <w:shd w:val="clear" w:color="auto" w:fill="FFFFFF"/>
        </w:rPr>
        <w:t xml:space="preserve"> :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287B1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 / П. С. Гуревич. — 3-е изд., пер. и доп. — М. : Издательство </w:t>
      </w:r>
      <w:proofErr w:type="spellStart"/>
      <w:r w:rsidRPr="00287B12">
        <w:rPr>
          <w:sz w:val="24"/>
          <w:szCs w:val="24"/>
          <w:shd w:val="clear" w:color="auto" w:fill="FFFFFF"/>
        </w:rPr>
        <w:t>Юрайт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, 2018. — 429 с. — (Серия : Бакалавр. </w:t>
      </w:r>
      <w:proofErr w:type="gramStart"/>
      <w:r w:rsidRPr="00287B1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— ISBN 978-5-534-04531-4. — Режим доступа</w:t>
      </w:r>
      <w:proofErr w:type="gramStart"/>
      <w:r w:rsidRPr="00287B12">
        <w:rPr>
          <w:sz w:val="24"/>
          <w:szCs w:val="24"/>
          <w:shd w:val="clear" w:color="auto" w:fill="FFFFFF"/>
        </w:rPr>
        <w:t xml:space="preserve"> :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</w:t>
      </w:r>
      <w:hyperlink r:id="rId6" w:history="1">
        <w:r w:rsidRPr="00287B12">
          <w:rPr>
            <w:rStyle w:val="a5"/>
            <w:sz w:val="24"/>
            <w:szCs w:val="24"/>
            <w:shd w:val="clear" w:color="auto" w:fill="FFFFFF"/>
          </w:rPr>
          <w:t>www.biblio-online.ru/book/EBAAFEB8-B671-4BD3-9003-B8E0699425B4</w:t>
        </w:r>
      </w:hyperlink>
      <w:r w:rsidRPr="00287B12">
        <w:rPr>
          <w:sz w:val="24"/>
          <w:szCs w:val="24"/>
          <w:shd w:val="clear" w:color="auto" w:fill="FFFFFF"/>
        </w:rPr>
        <w:t>.</w:t>
      </w:r>
    </w:p>
    <w:p w:rsidR="00C92E04" w:rsidRPr="00287B12" w:rsidRDefault="00C92E04" w:rsidP="00C92E04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287B12">
        <w:rPr>
          <w:sz w:val="24"/>
          <w:szCs w:val="24"/>
          <w:shd w:val="clear" w:color="auto" w:fill="FFFFFF"/>
        </w:rPr>
        <w:t>Столяренко, Л. Д. Психология и педагогика</w:t>
      </w:r>
      <w:proofErr w:type="gramStart"/>
      <w:r w:rsidRPr="00287B12">
        <w:rPr>
          <w:sz w:val="24"/>
          <w:szCs w:val="24"/>
          <w:shd w:val="clear" w:color="auto" w:fill="FFFFFF"/>
        </w:rPr>
        <w:t xml:space="preserve"> :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287B1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 / Л. Д. Столяренко, В. Е. Столяренко. — 4-е изд., пер. и доп. — М. : Издательство </w:t>
      </w:r>
      <w:proofErr w:type="spellStart"/>
      <w:r w:rsidRPr="00287B12">
        <w:rPr>
          <w:sz w:val="24"/>
          <w:szCs w:val="24"/>
          <w:shd w:val="clear" w:color="auto" w:fill="FFFFFF"/>
        </w:rPr>
        <w:t>Юрайт</w:t>
      </w:r>
      <w:proofErr w:type="spellEnd"/>
      <w:r w:rsidRPr="00287B12">
        <w:rPr>
          <w:sz w:val="24"/>
          <w:szCs w:val="24"/>
          <w:shd w:val="clear" w:color="auto" w:fill="FFFFFF"/>
        </w:rPr>
        <w:t>, 201</w:t>
      </w:r>
      <w:r w:rsidR="009869C0" w:rsidRPr="00287B12">
        <w:rPr>
          <w:sz w:val="24"/>
          <w:szCs w:val="24"/>
          <w:shd w:val="clear" w:color="auto" w:fill="FFFFFF"/>
        </w:rPr>
        <w:t>7</w:t>
      </w:r>
      <w:r w:rsidRPr="00287B12">
        <w:rPr>
          <w:sz w:val="24"/>
          <w:szCs w:val="24"/>
          <w:shd w:val="clear" w:color="auto" w:fill="FFFFFF"/>
        </w:rPr>
        <w:t xml:space="preserve">. — 509 с. — (Серия : Бакалавр. </w:t>
      </w:r>
      <w:proofErr w:type="gramStart"/>
      <w:r w:rsidRPr="00287B1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— ISBN 978-5-9916-6715-9. — Режим доступа</w:t>
      </w:r>
      <w:proofErr w:type="gramStart"/>
      <w:r w:rsidRPr="00287B12">
        <w:rPr>
          <w:sz w:val="24"/>
          <w:szCs w:val="24"/>
          <w:shd w:val="clear" w:color="auto" w:fill="FFFFFF"/>
        </w:rPr>
        <w:t xml:space="preserve"> :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Pr="00287B12">
          <w:rPr>
            <w:rStyle w:val="a5"/>
            <w:sz w:val="24"/>
            <w:szCs w:val="24"/>
            <w:shd w:val="clear" w:color="auto" w:fill="FFFFFF"/>
          </w:rPr>
          <w:t>www.biblio-online.ru/book/26543AC2-A871-427D-A13A-6488E9C9A68A</w:t>
        </w:r>
      </w:hyperlink>
      <w:r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344F1" w:rsidRPr="00287B12" w:rsidRDefault="00F344F1" w:rsidP="00F344F1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87B12">
        <w:rPr>
          <w:rFonts w:ascii="Times New Roman" w:hAnsi="Times New Roman"/>
          <w:b/>
          <w:bCs/>
          <w:i/>
          <w:sz w:val="24"/>
          <w:szCs w:val="24"/>
        </w:rPr>
        <w:lastRenderedPageBreak/>
        <w:t>Дополнительная:</w:t>
      </w:r>
    </w:p>
    <w:p w:rsidR="00C92E04" w:rsidRPr="00287B12" w:rsidRDefault="00C92E04" w:rsidP="00C92E04">
      <w:pPr>
        <w:numPr>
          <w:ilvl w:val="0"/>
          <w:numId w:val="14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287B12">
        <w:rPr>
          <w:sz w:val="24"/>
          <w:szCs w:val="24"/>
          <w:shd w:val="clear" w:color="auto" w:fill="FFFFFF"/>
        </w:rPr>
        <w:t>Вечорко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 Г.Ф. Основы психологии и педагогики. Практикум [Электронный ресурс]: учебное пособие/ </w:t>
      </w:r>
      <w:proofErr w:type="spellStart"/>
      <w:r w:rsidRPr="00287B12">
        <w:rPr>
          <w:sz w:val="24"/>
          <w:szCs w:val="24"/>
          <w:shd w:val="clear" w:color="auto" w:fill="FFFFFF"/>
        </w:rPr>
        <w:t>Вечорко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 Г.Ф.— Электрон</w:t>
      </w:r>
      <w:proofErr w:type="gramStart"/>
      <w:r w:rsidRPr="00287B12">
        <w:rPr>
          <w:sz w:val="24"/>
          <w:szCs w:val="24"/>
          <w:shd w:val="clear" w:color="auto" w:fill="FFFFFF"/>
        </w:rPr>
        <w:t>.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</w:t>
      </w:r>
      <w:proofErr w:type="gramStart"/>
      <w:r w:rsidRPr="00287B12">
        <w:rPr>
          <w:sz w:val="24"/>
          <w:szCs w:val="24"/>
          <w:shd w:val="clear" w:color="auto" w:fill="FFFFFF"/>
        </w:rPr>
        <w:t>т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287B12">
        <w:rPr>
          <w:sz w:val="24"/>
          <w:szCs w:val="24"/>
          <w:shd w:val="clear" w:color="auto" w:fill="FFFFFF"/>
        </w:rPr>
        <w:t>ТетраСистемс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, 2014.— 272 </w:t>
      </w:r>
      <w:proofErr w:type="spellStart"/>
      <w:r w:rsidRPr="00287B12">
        <w:rPr>
          <w:sz w:val="24"/>
          <w:szCs w:val="24"/>
          <w:shd w:val="clear" w:color="auto" w:fill="FFFFFF"/>
        </w:rPr>
        <w:t>c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1C7382">
          <w:rPr>
            <w:rStyle w:val="a5"/>
            <w:sz w:val="24"/>
            <w:szCs w:val="24"/>
            <w:shd w:val="clear" w:color="auto" w:fill="FFFFFF"/>
          </w:rPr>
          <w:t>http://www.iprbookshop.ru/28175</w:t>
        </w:r>
      </w:hyperlink>
    </w:p>
    <w:p w:rsidR="00C92E04" w:rsidRPr="00287B12" w:rsidRDefault="00C92E04" w:rsidP="00C92E04">
      <w:pPr>
        <w:numPr>
          <w:ilvl w:val="0"/>
          <w:numId w:val="14"/>
        </w:numPr>
        <w:jc w:val="both"/>
        <w:rPr>
          <w:sz w:val="24"/>
          <w:szCs w:val="24"/>
        </w:rPr>
      </w:pPr>
      <w:r w:rsidRPr="00287B12">
        <w:rPr>
          <w:sz w:val="24"/>
          <w:szCs w:val="24"/>
        </w:rPr>
        <w:t>Юдина О.И. Педагогическая диагностика [Электронный ресурс]: практикум/ Юдина О.И.— Электрон</w:t>
      </w:r>
      <w:proofErr w:type="gramStart"/>
      <w:r w:rsidRPr="00287B12">
        <w:rPr>
          <w:sz w:val="24"/>
          <w:szCs w:val="24"/>
        </w:rPr>
        <w:t>.</w:t>
      </w:r>
      <w:proofErr w:type="gramEnd"/>
      <w:r w:rsidRPr="00287B12">
        <w:rPr>
          <w:sz w:val="24"/>
          <w:szCs w:val="24"/>
        </w:rPr>
        <w:t xml:space="preserve"> </w:t>
      </w:r>
      <w:proofErr w:type="gramStart"/>
      <w:r w:rsidRPr="00287B12">
        <w:rPr>
          <w:sz w:val="24"/>
          <w:szCs w:val="24"/>
        </w:rPr>
        <w:t>т</w:t>
      </w:r>
      <w:proofErr w:type="gramEnd"/>
      <w:r w:rsidRPr="00287B12">
        <w:rPr>
          <w:sz w:val="24"/>
          <w:szCs w:val="24"/>
        </w:rPr>
        <w:t xml:space="preserve">екстовые данные.— Оренбург: Оренбургский государственный университет, ЭБС АСВ, 2014.— 112 </w:t>
      </w:r>
      <w:proofErr w:type="spellStart"/>
      <w:r w:rsidRPr="00287B12">
        <w:rPr>
          <w:sz w:val="24"/>
          <w:szCs w:val="24"/>
        </w:rPr>
        <w:t>c</w:t>
      </w:r>
      <w:proofErr w:type="spellEnd"/>
      <w:r w:rsidRPr="00287B12">
        <w:rPr>
          <w:sz w:val="24"/>
          <w:szCs w:val="24"/>
        </w:rPr>
        <w:t xml:space="preserve">.— Режим доступа: </w:t>
      </w:r>
      <w:hyperlink r:id="rId9" w:history="1">
        <w:r w:rsidR="001C7382">
          <w:rPr>
            <w:rStyle w:val="a5"/>
            <w:sz w:val="24"/>
            <w:szCs w:val="24"/>
          </w:rPr>
          <w:t>http://www.iprbookshop.ru/33647</w:t>
        </w:r>
      </w:hyperlink>
    </w:p>
    <w:p w:rsidR="007C12C4" w:rsidRPr="00287B12" w:rsidRDefault="00C92E04" w:rsidP="00C92E04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287B12">
        <w:rPr>
          <w:sz w:val="24"/>
          <w:szCs w:val="24"/>
          <w:shd w:val="clear" w:color="auto" w:fill="FFFFFF"/>
        </w:rPr>
        <w:t>Шаповаленко</w:t>
      </w:r>
      <w:proofErr w:type="spellEnd"/>
      <w:r w:rsidRPr="00287B12">
        <w:rPr>
          <w:sz w:val="24"/>
          <w:szCs w:val="24"/>
          <w:shd w:val="clear" w:color="auto" w:fill="FFFFFF"/>
        </w:rPr>
        <w:t>, И. В. Психология развития и возрастная психология</w:t>
      </w:r>
      <w:proofErr w:type="gramStart"/>
      <w:r w:rsidRPr="00287B12">
        <w:rPr>
          <w:sz w:val="24"/>
          <w:szCs w:val="24"/>
          <w:shd w:val="clear" w:color="auto" w:fill="FFFFFF"/>
        </w:rPr>
        <w:t xml:space="preserve"> :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287B1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 / И. В. </w:t>
      </w:r>
      <w:proofErr w:type="spellStart"/>
      <w:r w:rsidRPr="00287B12">
        <w:rPr>
          <w:sz w:val="24"/>
          <w:szCs w:val="24"/>
          <w:shd w:val="clear" w:color="auto" w:fill="FFFFFF"/>
        </w:rPr>
        <w:t>Шаповаленко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. — 3-е изд., пер. и доп. — М. : Издательство </w:t>
      </w:r>
      <w:proofErr w:type="spellStart"/>
      <w:r w:rsidRPr="00287B12">
        <w:rPr>
          <w:sz w:val="24"/>
          <w:szCs w:val="24"/>
          <w:shd w:val="clear" w:color="auto" w:fill="FFFFFF"/>
        </w:rPr>
        <w:t>Юрайт</w:t>
      </w:r>
      <w:proofErr w:type="spellEnd"/>
      <w:r w:rsidRPr="00287B12">
        <w:rPr>
          <w:sz w:val="24"/>
          <w:szCs w:val="24"/>
          <w:shd w:val="clear" w:color="auto" w:fill="FFFFFF"/>
        </w:rPr>
        <w:t xml:space="preserve">, 2018. — 575 с. — (Серия : Бакалавр. </w:t>
      </w:r>
      <w:proofErr w:type="gramStart"/>
      <w:r w:rsidRPr="00287B1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— ISBN 978-5-9916-3510-3. — Режим доступа</w:t>
      </w:r>
      <w:proofErr w:type="gramStart"/>
      <w:r w:rsidRPr="00287B12">
        <w:rPr>
          <w:sz w:val="24"/>
          <w:szCs w:val="24"/>
          <w:shd w:val="clear" w:color="auto" w:fill="FFFFFF"/>
        </w:rPr>
        <w:t xml:space="preserve"> :</w:t>
      </w:r>
      <w:proofErr w:type="gramEnd"/>
      <w:r w:rsidRPr="00287B12">
        <w:rPr>
          <w:sz w:val="24"/>
          <w:szCs w:val="24"/>
          <w:shd w:val="clear" w:color="auto" w:fill="FFFFFF"/>
        </w:rPr>
        <w:t xml:space="preserve"> </w:t>
      </w:r>
      <w:hyperlink r:id="rId10" w:history="1">
        <w:r w:rsidR="005F1F95">
          <w:rPr>
            <w:rStyle w:val="a5"/>
            <w:sz w:val="24"/>
            <w:szCs w:val="24"/>
            <w:shd w:val="clear" w:color="auto" w:fill="FFFFFF"/>
          </w:rPr>
          <w:t>www.biblio-online.ru/book/C25A5FDC-F233-47C4-9278-FA73F69D4EB0.</w:t>
        </w:r>
      </w:hyperlink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proofErr w:type="spellStart"/>
      <w:r w:rsidRPr="00287B12">
        <w:rPr>
          <w:rFonts w:ascii="Times New Roman" w:hAnsi="Times New Roman"/>
          <w:sz w:val="24"/>
          <w:szCs w:val="24"/>
        </w:rPr>
        <w:t>Юрайт</w:t>
      </w:r>
      <w:proofErr w:type="spellEnd"/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87B12">
        <w:rPr>
          <w:rFonts w:ascii="Times New Roman" w:hAnsi="Times New Roman"/>
          <w:sz w:val="24"/>
          <w:szCs w:val="24"/>
        </w:rPr>
        <w:t>e-library.ru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87B12">
        <w:rPr>
          <w:rFonts w:ascii="Times New Roman" w:hAnsi="Times New Roman"/>
          <w:sz w:val="24"/>
          <w:szCs w:val="24"/>
        </w:rPr>
        <w:t>Elsevier</w:t>
      </w:r>
      <w:proofErr w:type="spellEnd"/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5F1F95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87B12">
        <w:rPr>
          <w:sz w:val="24"/>
          <w:szCs w:val="24"/>
        </w:rPr>
        <w:t>электроннойинформационно-образовательной</w:t>
      </w:r>
      <w:proofErr w:type="spellEnd"/>
      <w:r w:rsidRPr="00287B12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287B12">
        <w:rPr>
          <w:sz w:val="24"/>
          <w:szCs w:val="24"/>
        </w:rPr>
        <w:t>имеетсядоступ</w:t>
      </w:r>
      <w:proofErr w:type="spellEnd"/>
      <w:r w:rsidRPr="00287B12">
        <w:rPr>
          <w:sz w:val="24"/>
          <w:szCs w:val="24"/>
        </w:rPr>
        <w:t xml:space="preserve">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287B12">
        <w:rPr>
          <w:sz w:val="24"/>
          <w:szCs w:val="24"/>
        </w:rPr>
        <w:t>территорииорганизации</w:t>
      </w:r>
      <w:proofErr w:type="spellEnd"/>
      <w:r w:rsidRPr="00287B12">
        <w:rPr>
          <w:sz w:val="24"/>
          <w:szCs w:val="24"/>
        </w:rPr>
        <w:t xml:space="preserve">, так и </w:t>
      </w:r>
      <w:proofErr w:type="gramStart"/>
      <w:r w:rsidRPr="00287B12">
        <w:rPr>
          <w:sz w:val="24"/>
          <w:szCs w:val="24"/>
        </w:rPr>
        <w:t>вне</w:t>
      </w:r>
      <w:proofErr w:type="gramEnd"/>
      <w:r w:rsidRPr="00287B12">
        <w:rPr>
          <w:sz w:val="24"/>
          <w:szCs w:val="24"/>
        </w:rPr>
        <w:t xml:space="preserve"> </w:t>
      </w:r>
      <w:proofErr w:type="gramStart"/>
      <w:r w:rsidRPr="00287B12">
        <w:rPr>
          <w:sz w:val="24"/>
          <w:szCs w:val="24"/>
        </w:rPr>
        <w:t>ее</w:t>
      </w:r>
      <w:proofErr w:type="gramEnd"/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87B12">
        <w:rPr>
          <w:sz w:val="24"/>
          <w:szCs w:val="24"/>
        </w:rPr>
        <w:t>обеспечивает</w:t>
      </w:r>
      <w:proofErr w:type="gramStart"/>
      <w:r w:rsidRPr="00287B12">
        <w:rPr>
          <w:sz w:val="24"/>
          <w:szCs w:val="24"/>
        </w:rPr>
        <w:t>:д</w:t>
      </w:r>
      <w:proofErr w:type="gramEnd"/>
      <w:r w:rsidRPr="00287B12">
        <w:rPr>
          <w:sz w:val="24"/>
          <w:szCs w:val="24"/>
        </w:rPr>
        <w:t>оступ</w:t>
      </w:r>
      <w:proofErr w:type="spellEnd"/>
      <w:r w:rsidRPr="00287B1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87B12">
        <w:rPr>
          <w:sz w:val="24"/>
          <w:szCs w:val="24"/>
        </w:rPr>
        <w:t>кизданиям</w:t>
      </w:r>
      <w:proofErr w:type="spellEnd"/>
      <w:r w:rsidRPr="00287B1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87B12">
        <w:rPr>
          <w:sz w:val="24"/>
          <w:szCs w:val="24"/>
        </w:rPr>
        <w:t>ресурсам,указанным</w:t>
      </w:r>
      <w:proofErr w:type="spellEnd"/>
      <w:r w:rsidRPr="00287B12">
        <w:rPr>
          <w:sz w:val="24"/>
          <w:szCs w:val="24"/>
        </w:rPr>
        <w:t xml:space="preserve"> в рабочих </w:t>
      </w:r>
      <w:proofErr w:type="spellStart"/>
      <w:r w:rsidRPr="00287B12">
        <w:rPr>
          <w:sz w:val="24"/>
          <w:szCs w:val="24"/>
        </w:rPr>
        <w:t>программах;фиксацию</w:t>
      </w:r>
      <w:proofErr w:type="spellEnd"/>
      <w:r w:rsidRPr="00287B12">
        <w:rPr>
          <w:sz w:val="24"/>
          <w:szCs w:val="24"/>
        </w:rPr>
        <w:t xml:space="preserve">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 xml:space="preserve">ии результатов освоения основной образовательной </w:t>
      </w:r>
      <w:proofErr w:type="spellStart"/>
      <w:r w:rsidRPr="00287B12">
        <w:rPr>
          <w:sz w:val="24"/>
          <w:szCs w:val="24"/>
        </w:rPr>
        <w:t>программы;проведение</w:t>
      </w:r>
      <w:proofErr w:type="spellEnd"/>
      <w:r w:rsidRPr="00287B1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87B12">
        <w:rPr>
          <w:sz w:val="24"/>
          <w:szCs w:val="24"/>
        </w:rPr>
        <w:t>реализациякоторых</w:t>
      </w:r>
      <w:proofErr w:type="spellEnd"/>
      <w:r w:rsidRPr="00287B1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87B12">
        <w:rPr>
          <w:sz w:val="24"/>
          <w:szCs w:val="24"/>
        </w:rPr>
        <w:lastRenderedPageBreak/>
        <w:t>дистанционныхобразовательных</w:t>
      </w:r>
      <w:proofErr w:type="spellEnd"/>
      <w:r w:rsidRPr="00287B12">
        <w:rPr>
          <w:sz w:val="24"/>
          <w:szCs w:val="24"/>
        </w:rPr>
        <w:t xml:space="preserve"> </w:t>
      </w:r>
      <w:proofErr w:type="spellStart"/>
      <w:r w:rsidRPr="00287B12">
        <w:rPr>
          <w:sz w:val="24"/>
          <w:szCs w:val="24"/>
        </w:rPr>
        <w:t>технологий;формирование</w:t>
      </w:r>
      <w:proofErr w:type="spellEnd"/>
      <w:r w:rsidRPr="00287B12">
        <w:rPr>
          <w:sz w:val="24"/>
          <w:szCs w:val="24"/>
        </w:rPr>
        <w:t xml:space="preserve"> электронного </w:t>
      </w:r>
      <w:proofErr w:type="spellStart"/>
      <w:r w:rsidRPr="00287B12">
        <w:rPr>
          <w:sz w:val="24"/>
          <w:szCs w:val="24"/>
        </w:rPr>
        <w:t>портфолио</w:t>
      </w:r>
      <w:proofErr w:type="spellEnd"/>
      <w:r w:rsidRPr="00287B12">
        <w:rPr>
          <w:sz w:val="24"/>
          <w:szCs w:val="24"/>
        </w:rPr>
        <w:t xml:space="preserve"> обучающегося, в том числе </w:t>
      </w:r>
      <w:proofErr w:type="spellStart"/>
      <w:r w:rsidRPr="00287B12">
        <w:rPr>
          <w:sz w:val="24"/>
          <w:szCs w:val="24"/>
        </w:rPr>
        <w:t>сохранениеработ</w:t>
      </w:r>
      <w:proofErr w:type="spellEnd"/>
      <w:r w:rsidRPr="00287B12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287B12">
        <w:rPr>
          <w:sz w:val="24"/>
          <w:szCs w:val="24"/>
        </w:rPr>
        <w:t>участниковобразовательного</w:t>
      </w:r>
      <w:proofErr w:type="spellEnd"/>
      <w:r w:rsidRPr="00287B12">
        <w:rPr>
          <w:sz w:val="24"/>
          <w:szCs w:val="24"/>
        </w:rPr>
        <w:t xml:space="preserve"> </w:t>
      </w:r>
      <w:proofErr w:type="spellStart"/>
      <w:r w:rsidRPr="00287B12">
        <w:rPr>
          <w:sz w:val="24"/>
          <w:szCs w:val="24"/>
        </w:rPr>
        <w:t>процесса</w:t>
      </w:r>
      <w:proofErr w:type="gramStart"/>
      <w:r w:rsidRPr="00287B12">
        <w:rPr>
          <w:sz w:val="24"/>
          <w:szCs w:val="24"/>
        </w:rPr>
        <w:t>;в</w:t>
      </w:r>
      <w:proofErr w:type="gramEnd"/>
      <w:r w:rsidRPr="00287B12">
        <w:rPr>
          <w:sz w:val="24"/>
          <w:szCs w:val="24"/>
        </w:rPr>
        <w:t>заимодействие</w:t>
      </w:r>
      <w:proofErr w:type="spellEnd"/>
      <w:r w:rsidRPr="00287B12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287B12">
        <w:rPr>
          <w:sz w:val="24"/>
          <w:szCs w:val="24"/>
        </w:rPr>
        <w:t>числесинхронное</w:t>
      </w:r>
      <w:proofErr w:type="spellEnd"/>
      <w:r w:rsidRPr="00287B12">
        <w:rPr>
          <w:sz w:val="24"/>
          <w:szCs w:val="24"/>
        </w:rPr>
        <w:t xml:space="preserve">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344F1" w:rsidRPr="00287B12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F344F1" w:rsidRPr="00287B1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proofErr w:type="gramStart"/>
      <w:r w:rsidR="007830EF" w:rsidRPr="00287B12">
        <w:rPr>
          <w:b/>
          <w:sz w:val="24"/>
          <w:szCs w:val="24"/>
          <w:lang w:eastAsia="en-US"/>
        </w:rPr>
        <w:t>»</w:t>
      </w:r>
      <w:r w:rsidRPr="00287B12">
        <w:rPr>
          <w:sz w:val="24"/>
          <w:szCs w:val="24"/>
        </w:rPr>
        <w:t>о</w:t>
      </w:r>
      <w:proofErr w:type="gramEnd"/>
      <w:r w:rsidRPr="00287B12">
        <w:rPr>
          <w:sz w:val="24"/>
          <w:szCs w:val="24"/>
        </w:rPr>
        <w:t>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</w:t>
      </w:r>
      <w:proofErr w:type="gramStart"/>
      <w:r w:rsidRPr="00287B12">
        <w:rPr>
          <w:sz w:val="24"/>
          <w:szCs w:val="24"/>
        </w:rPr>
        <w:t>обучающихся</w:t>
      </w:r>
      <w:proofErr w:type="gramEnd"/>
      <w:r w:rsidRPr="00287B12">
        <w:rPr>
          <w:sz w:val="24"/>
          <w:szCs w:val="24"/>
        </w:rPr>
        <w:t xml:space="preserve">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</w:t>
      </w:r>
      <w:proofErr w:type="gramStart"/>
      <w:r w:rsidRPr="00287B12">
        <w:rPr>
          <w:sz w:val="24"/>
          <w:szCs w:val="24"/>
        </w:rPr>
        <w:t>обучающихся</w:t>
      </w:r>
      <w:proofErr w:type="gramEnd"/>
      <w:r w:rsidRPr="00287B12">
        <w:rPr>
          <w:sz w:val="24"/>
          <w:szCs w:val="24"/>
        </w:rPr>
        <w:t xml:space="preserve">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87B12">
        <w:rPr>
          <w:sz w:val="24"/>
          <w:szCs w:val="24"/>
        </w:rPr>
        <w:t>организационный</w:t>
      </w:r>
      <w:proofErr w:type="gramEnd"/>
      <w:r w:rsidRPr="00287B12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</w:t>
      </w:r>
      <w:proofErr w:type="gramStart"/>
      <w:r w:rsidRPr="00287B12">
        <w:rPr>
          <w:sz w:val="24"/>
          <w:szCs w:val="24"/>
        </w:rPr>
        <w:t>обучающихся</w:t>
      </w:r>
      <w:proofErr w:type="gramEnd"/>
      <w:r w:rsidRPr="00287B12">
        <w:rPr>
          <w:sz w:val="24"/>
          <w:szCs w:val="24"/>
        </w:rPr>
        <w:t xml:space="preserve">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87B1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87B12">
        <w:rPr>
          <w:sz w:val="24"/>
          <w:szCs w:val="24"/>
        </w:rPr>
        <w:t xml:space="preserve"> − </w:t>
      </w:r>
      <w:proofErr w:type="gramStart"/>
      <w:r w:rsidRPr="00287B1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87B12">
        <w:rPr>
          <w:sz w:val="24"/>
          <w:szCs w:val="24"/>
        </w:rPr>
        <w:t>характер</w:t>
      </w:r>
      <w:proofErr w:type="gramEnd"/>
      <w:r w:rsidRPr="00287B12">
        <w:rPr>
          <w:sz w:val="24"/>
          <w:szCs w:val="24"/>
        </w:rPr>
        <w:t xml:space="preserve">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Следующим этапом </w:t>
      </w:r>
      <w:proofErr w:type="spellStart"/>
      <w:r w:rsidRPr="00287B12">
        <w:rPr>
          <w:sz w:val="24"/>
          <w:szCs w:val="24"/>
        </w:rPr>
        <w:t>работыс</w:t>
      </w:r>
      <w:proofErr w:type="spellEnd"/>
      <w:r w:rsidRPr="00287B12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87B1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87B1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AC429F" w:rsidRPr="0044042F" w:rsidRDefault="00AC429F" w:rsidP="00AC429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AC429F" w:rsidRPr="00682A13" w:rsidRDefault="00AC429F" w:rsidP="00AC429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C429F" w:rsidRPr="00682A13" w:rsidRDefault="00AC429F" w:rsidP="00AC429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AC429F" w:rsidRPr="00682A13" w:rsidRDefault="00AC429F" w:rsidP="00AC429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C429F" w:rsidRPr="00682A13" w:rsidRDefault="00AC429F" w:rsidP="00AC429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C429F" w:rsidRPr="00682A13" w:rsidRDefault="00AC429F" w:rsidP="00AC429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C429F" w:rsidRPr="00682A13" w:rsidRDefault="00AC429F" w:rsidP="00AC429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AC429F" w:rsidRDefault="00AC429F" w:rsidP="00AC429F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справочные системы</w:t>
      </w:r>
    </w:p>
    <w:p w:rsidR="00AC429F" w:rsidRDefault="00AC429F" w:rsidP="00AC42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C429F" w:rsidRDefault="00AC429F" w:rsidP="00AC429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C7382">
          <w:rPr>
            <w:rStyle w:val="a5"/>
            <w:rFonts w:ascii="Times New Roman" w:hAnsi="Times New Roman"/>
            <w:sz w:val="24"/>
            <w:szCs w:val="24"/>
          </w:rPr>
          <w:t>http://edu.garant.ru/omga/</w:t>
        </w:r>
      </w:hyperlink>
    </w:p>
    <w:p w:rsidR="00AC429F" w:rsidRDefault="00AC429F" w:rsidP="00AC429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1C7382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C429F" w:rsidRDefault="00AC429F" w:rsidP="00AC429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1C7382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C429F" w:rsidRDefault="00AC429F" w:rsidP="00AC429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1C7382">
          <w:rPr>
            <w:rStyle w:val="a5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AC429F" w:rsidRPr="00C46083" w:rsidRDefault="00AC429F" w:rsidP="00AC429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29" w:history="1">
        <w:r w:rsidR="001C7382">
          <w:rPr>
            <w:rStyle w:val="a5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AC429F" w:rsidRDefault="00AC429F" w:rsidP="00AC429F">
      <w:pPr>
        <w:ind w:firstLine="709"/>
        <w:jc w:val="both"/>
        <w:rPr>
          <w:b/>
          <w:sz w:val="24"/>
          <w:szCs w:val="24"/>
        </w:rPr>
      </w:pPr>
    </w:p>
    <w:p w:rsidR="00AC429F" w:rsidRPr="0029490B" w:rsidRDefault="00AC429F" w:rsidP="00AC429F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Производственная</w:t>
      </w:r>
      <w:proofErr w:type="gramEnd"/>
      <w:r w:rsidRPr="00283E5A">
        <w:rPr>
          <w:sz w:val="24"/>
          <w:szCs w:val="24"/>
        </w:rPr>
        <w:t>, д. 41/1</w:t>
      </w:r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lastRenderedPageBreak/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1F7D2A">
          <w:rPr>
            <w:rStyle w:val="a5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Кеттелла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C429F" w:rsidRPr="00283E5A" w:rsidRDefault="00AC429F" w:rsidP="00AC429F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1F7D2A">
          <w:rPr>
            <w:rStyle w:val="a5"/>
            <w:sz w:val="24"/>
            <w:szCs w:val="24"/>
          </w:rPr>
          <w:t>www.biblio-online.ru</w:t>
        </w:r>
      </w:hyperlink>
    </w:p>
    <w:p w:rsidR="00AC429F" w:rsidRPr="00283E5A" w:rsidRDefault="00AC429F" w:rsidP="000E7398">
      <w:pPr>
        <w:tabs>
          <w:tab w:val="left" w:pos="2410"/>
        </w:tabs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AC429F" w:rsidRPr="00283E5A" w:rsidRDefault="00AC429F" w:rsidP="00AC429F">
      <w:pPr>
        <w:jc w:val="both"/>
        <w:rPr>
          <w:sz w:val="24"/>
          <w:szCs w:val="24"/>
        </w:rPr>
      </w:pPr>
    </w:p>
    <w:p w:rsidR="00AC429F" w:rsidRPr="00036F40" w:rsidRDefault="00AC429F" w:rsidP="00AC429F">
      <w:pPr>
        <w:ind w:firstLine="709"/>
        <w:jc w:val="both"/>
        <w:rPr>
          <w:sz w:val="24"/>
          <w:szCs w:val="24"/>
        </w:rPr>
      </w:pPr>
    </w:p>
    <w:p w:rsidR="00AC429F" w:rsidRDefault="00AC429F" w:rsidP="00AC429F">
      <w:pPr>
        <w:ind w:firstLine="709"/>
        <w:jc w:val="both"/>
      </w:pPr>
    </w:p>
    <w:p w:rsidR="00AC429F" w:rsidRPr="00A40306" w:rsidRDefault="00AC429F" w:rsidP="00AC429F"/>
    <w:p w:rsidR="009869C0" w:rsidRPr="00287B12" w:rsidRDefault="009869C0" w:rsidP="00AC429F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0"/>
  </w:num>
  <w:num w:numId="15">
    <w:abstractNumId w:val="19"/>
  </w:num>
  <w:num w:numId="16">
    <w:abstractNumId w:val="14"/>
  </w:num>
  <w:num w:numId="17">
    <w:abstractNumId w:val="8"/>
  </w:num>
  <w:num w:numId="18">
    <w:abstractNumId w:val="2"/>
  </w:num>
  <w:num w:numId="19">
    <w:abstractNumId w:val="1"/>
  </w:num>
  <w:num w:numId="20">
    <w:abstractNumId w:val="1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F1"/>
    <w:rsid w:val="00005937"/>
    <w:rsid w:val="000153C0"/>
    <w:rsid w:val="000342C0"/>
    <w:rsid w:val="0003593E"/>
    <w:rsid w:val="00037BF4"/>
    <w:rsid w:val="00070BBC"/>
    <w:rsid w:val="000732E4"/>
    <w:rsid w:val="00073EF7"/>
    <w:rsid w:val="000A4C44"/>
    <w:rsid w:val="000C688C"/>
    <w:rsid w:val="000E7398"/>
    <w:rsid w:val="0011500E"/>
    <w:rsid w:val="0013166B"/>
    <w:rsid w:val="001660D8"/>
    <w:rsid w:val="00174109"/>
    <w:rsid w:val="00183C69"/>
    <w:rsid w:val="001871C8"/>
    <w:rsid w:val="001C7382"/>
    <w:rsid w:val="001E60CB"/>
    <w:rsid w:val="001F1EB5"/>
    <w:rsid w:val="001F7D2A"/>
    <w:rsid w:val="0023479A"/>
    <w:rsid w:val="00250171"/>
    <w:rsid w:val="0027306E"/>
    <w:rsid w:val="00287B12"/>
    <w:rsid w:val="002A0961"/>
    <w:rsid w:val="002A5264"/>
    <w:rsid w:val="002B380F"/>
    <w:rsid w:val="002C2F50"/>
    <w:rsid w:val="002C60A5"/>
    <w:rsid w:val="003554F3"/>
    <w:rsid w:val="00375C7B"/>
    <w:rsid w:val="00376539"/>
    <w:rsid w:val="003A4DA6"/>
    <w:rsid w:val="003D6F52"/>
    <w:rsid w:val="00402A67"/>
    <w:rsid w:val="004158DC"/>
    <w:rsid w:val="00424982"/>
    <w:rsid w:val="00433D87"/>
    <w:rsid w:val="004A073B"/>
    <w:rsid w:val="004A0992"/>
    <w:rsid w:val="004B072C"/>
    <w:rsid w:val="004C7249"/>
    <w:rsid w:val="004E7E07"/>
    <w:rsid w:val="004F7C57"/>
    <w:rsid w:val="00501814"/>
    <w:rsid w:val="005043C3"/>
    <w:rsid w:val="00537598"/>
    <w:rsid w:val="00546087"/>
    <w:rsid w:val="00592411"/>
    <w:rsid w:val="005F1F95"/>
    <w:rsid w:val="00607B16"/>
    <w:rsid w:val="00616930"/>
    <w:rsid w:val="00632C6C"/>
    <w:rsid w:val="00672666"/>
    <w:rsid w:val="00681D67"/>
    <w:rsid w:val="00684EF6"/>
    <w:rsid w:val="00692B88"/>
    <w:rsid w:val="006A2931"/>
    <w:rsid w:val="006F7C1C"/>
    <w:rsid w:val="0070731E"/>
    <w:rsid w:val="00711C33"/>
    <w:rsid w:val="007125B4"/>
    <w:rsid w:val="00731A5A"/>
    <w:rsid w:val="007830EF"/>
    <w:rsid w:val="00794372"/>
    <w:rsid w:val="007B7424"/>
    <w:rsid w:val="007C12C4"/>
    <w:rsid w:val="007E2970"/>
    <w:rsid w:val="00811439"/>
    <w:rsid w:val="00814096"/>
    <w:rsid w:val="0084021A"/>
    <w:rsid w:val="0084202D"/>
    <w:rsid w:val="008543C3"/>
    <w:rsid w:val="0086670F"/>
    <w:rsid w:val="00866B08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21938"/>
    <w:rsid w:val="00933C4D"/>
    <w:rsid w:val="00941877"/>
    <w:rsid w:val="00951103"/>
    <w:rsid w:val="009869C0"/>
    <w:rsid w:val="00992CDB"/>
    <w:rsid w:val="009932F9"/>
    <w:rsid w:val="00997B0B"/>
    <w:rsid w:val="00A56722"/>
    <w:rsid w:val="00A767A5"/>
    <w:rsid w:val="00A96A23"/>
    <w:rsid w:val="00AA79D1"/>
    <w:rsid w:val="00AB3D11"/>
    <w:rsid w:val="00AC429F"/>
    <w:rsid w:val="00AE4321"/>
    <w:rsid w:val="00AF2436"/>
    <w:rsid w:val="00AF6E70"/>
    <w:rsid w:val="00B16209"/>
    <w:rsid w:val="00B426B5"/>
    <w:rsid w:val="00B634CE"/>
    <w:rsid w:val="00B64A7C"/>
    <w:rsid w:val="00B65B54"/>
    <w:rsid w:val="00B81A5C"/>
    <w:rsid w:val="00B87216"/>
    <w:rsid w:val="00B94FE8"/>
    <w:rsid w:val="00BA1DA0"/>
    <w:rsid w:val="00BA4A13"/>
    <w:rsid w:val="00BB72A4"/>
    <w:rsid w:val="00C04E6B"/>
    <w:rsid w:val="00C07A22"/>
    <w:rsid w:val="00C16345"/>
    <w:rsid w:val="00C22330"/>
    <w:rsid w:val="00C43052"/>
    <w:rsid w:val="00C434A4"/>
    <w:rsid w:val="00C60E92"/>
    <w:rsid w:val="00C72109"/>
    <w:rsid w:val="00C7575D"/>
    <w:rsid w:val="00C92E04"/>
    <w:rsid w:val="00CC0EF1"/>
    <w:rsid w:val="00CC6F67"/>
    <w:rsid w:val="00CD2AB0"/>
    <w:rsid w:val="00CD3CEE"/>
    <w:rsid w:val="00CF2E87"/>
    <w:rsid w:val="00D0299C"/>
    <w:rsid w:val="00D22B0B"/>
    <w:rsid w:val="00D47A7B"/>
    <w:rsid w:val="00D8263D"/>
    <w:rsid w:val="00D8460D"/>
    <w:rsid w:val="00DA48ED"/>
    <w:rsid w:val="00DC1B65"/>
    <w:rsid w:val="00DD68E1"/>
    <w:rsid w:val="00E00822"/>
    <w:rsid w:val="00E21EFC"/>
    <w:rsid w:val="00E22413"/>
    <w:rsid w:val="00E55EE2"/>
    <w:rsid w:val="00E6026B"/>
    <w:rsid w:val="00E73B54"/>
    <w:rsid w:val="00E94FCF"/>
    <w:rsid w:val="00EB0A43"/>
    <w:rsid w:val="00EC48DA"/>
    <w:rsid w:val="00ED5693"/>
    <w:rsid w:val="00EF3A30"/>
    <w:rsid w:val="00EF4DB2"/>
    <w:rsid w:val="00F14D1A"/>
    <w:rsid w:val="00F234EF"/>
    <w:rsid w:val="00F24CA9"/>
    <w:rsid w:val="00F344F1"/>
    <w:rsid w:val="00F5022E"/>
    <w:rsid w:val="00F530A0"/>
    <w:rsid w:val="00F56FAE"/>
    <w:rsid w:val="00F7199A"/>
    <w:rsid w:val="00F83D60"/>
    <w:rsid w:val="00FA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paragraph" w:styleId="a7">
    <w:name w:val="Balloon Text"/>
    <w:basedOn w:val="a"/>
    <w:link w:val="a8"/>
    <w:uiPriority w:val="99"/>
    <w:semiHidden/>
    <w:unhideWhenUsed/>
    <w:rsid w:val="000E7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F7D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biblio-online.ru/book/26543AC2-A871-427D-A13A-6488E9C9A68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BAAFEB8-B671-4BD3-9003-B8E0699425B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10" Type="http://schemas.openxmlformats.org/officeDocument/2006/relationships/hyperlink" Target="http://www.biblio-online.ru/book/C25A5FDC-F233-47C4-9278-FA73F69D4EB0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B570-A0B2-4FC0-B8D2-FF8249E3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19</Pages>
  <Words>7201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65</cp:revision>
  <cp:lastPrinted>2019-03-09T18:15:00Z</cp:lastPrinted>
  <dcterms:created xsi:type="dcterms:W3CDTF">2018-12-09T23:53:00Z</dcterms:created>
  <dcterms:modified xsi:type="dcterms:W3CDTF">2023-06-21T08:57:00Z</dcterms:modified>
</cp:coreProperties>
</file>